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  <w:bookmarkStart w:id="0" w:name="_GoBack"/>
      <w:bookmarkEnd w:id="0"/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Pr="008B742C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31470F" w:rsidRDefault="00CF25A5" w:rsidP="00DD03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Βαρκελώνη</w:t>
            </w:r>
          </w:p>
        </w:tc>
        <w:tc>
          <w:tcPr>
            <w:tcW w:w="2016" w:type="dxa"/>
            <w:vAlign w:val="center"/>
          </w:tcPr>
          <w:p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Pr="00E979FE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30"/>
                <w:szCs w:val="30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DD03F5" w:rsidRDefault="00DD03F5" w:rsidP="00DD03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Πάλμα ντε Μαγιόρκα</w:t>
            </w:r>
          </w:p>
        </w:tc>
        <w:tc>
          <w:tcPr>
            <w:tcW w:w="2016" w:type="dxa"/>
            <w:vAlign w:val="center"/>
          </w:tcPr>
          <w:p w:rsidR="00636AF1" w:rsidRPr="00190CBB" w:rsidRDefault="002E3250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190CBB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01223" w:rsidRDefault="00166713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1F1AB4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1F1AB4" w:rsidRPr="00CF25A5" w:rsidRDefault="00CF25A5" w:rsidP="00CF25A5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:rsidR="001F1AB4" w:rsidRPr="00947249" w:rsidRDefault="00947249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Εξ-αν-Προβάνς, Μασσαλία</w:t>
            </w:r>
          </w:p>
        </w:tc>
        <w:tc>
          <w:tcPr>
            <w:tcW w:w="2016" w:type="dxa"/>
            <w:vAlign w:val="center"/>
          </w:tcPr>
          <w:p w:rsidR="001F1AB4" w:rsidRPr="00190CBB" w:rsidRDefault="002E3250" w:rsidP="00F8781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:rsidR="001F1AB4" w:rsidRPr="002E3250" w:rsidRDefault="002E3250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18:00</w:t>
            </w:r>
          </w:p>
        </w:tc>
      </w:tr>
      <w:tr w:rsidR="00CD6CBC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DD03F5" w:rsidRDefault="00947249" w:rsidP="00DD03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Λα Σπέτσια</w:t>
            </w:r>
            <w:r w:rsidR="00DD03F5">
              <w:rPr>
                <w:rFonts w:ascii="Myriad Pro" w:hAnsi="Myriad Pro" w:cs="Arial"/>
                <w:b/>
                <w:color w:val="333333"/>
                <w:sz w:val="32"/>
                <w:szCs w:val="32"/>
                <w:lang w:val="en-US"/>
              </w:rPr>
              <w:t xml:space="preserve"> (</w:t>
            </w:r>
            <w:r w:rsidR="00DD03F5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Φλωρεντία</w:t>
            </w:r>
            <w:r w:rsidR="00DD03F5">
              <w:rPr>
                <w:rFonts w:ascii="Myriad Pro" w:hAnsi="Myriad Pro" w:cs="Arial"/>
                <w:b/>
                <w:color w:val="333333"/>
                <w:sz w:val="32"/>
                <w:szCs w:val="32"/>
                <w:lang w:val="en-US"/>
              </w:rPr>
              <w:t>)</w:t>
            </w:r>
          </w:p>
        </w:tc>
        <w:tc>
          <w:tcPr>
            <w:tcW w:w="2016" w:type="dxa"/>
            <w:vAlign w:val="center"/>
          </w:tcPr>
          <w:p w:rsidR="00636AF1" w:rsidRPr="002F3B5D" w:rsidRDefault="002F3B5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8:3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20</w:t>
            </w:r>
            <w:r w:rsidR="002E3250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92D0A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:rsidR="00F92D0A" w:rsidRPr="00947249" w:rsidRDefault="00DD03F5" w:rsidP="00DD03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Τσιβιταβέκια / Ρώμη</w:t>
            </w:r>
          </w:p>
        </w:tc>
        <w:tc>
          <w:tcPr>
            <w:tcW w:w="2016" w:type="dxa"/>
            <w:vAlign w:val="center"/>
          </w:tcPr>
          <w:p w:rsidR="00F92D0A" w:rsidRDefault="00190CB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F92D0A" w:rsidRDefault="006806E1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20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947249" w:rsidRDefault="00947249" w:rsidP="008F1AB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Νάπολη</w:t>
            </w:r>
            <w:r w:rsidR="008F1ABA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 xml:space="preserve"> (Κάπρι)</w:t>
            </w:r>
          </w:p>
        </w:tc>
        <w:tc>
          <w:tcPr>
            <w:tcW w:w="2016" w:type="dxa"/>
            <w:vAlign w:val="center"/>
          </w:tcPr>
          <w:p w:rsidR="00636AF1" w:rsidRPr="00190CBB" w:rsidRDefault="00190CBB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D39CC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B3219" w:rsidRDefault="002F3B5D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5E4073">
              <w:rPr>
                <w:rFonts w:ascii="Myriad Pro" w:hAnsi="Myriad Pro"/>
                <w:b/>
                <w:sz w:val="32"/>
                <w:szCs w:val="32"/>
                <w:lang w:val="en-US"/>
              </w:rPr>
              <w:t>19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AF3978" w:rsidRDefault="00CF25A5" w:rsidP="00CF25A5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 ΣΑΒΒΑΤΟ</w:t>
            </w:r>
          </w:p>
        </w:tc>
        <w:tc>
          <w:tcPr>
            <w:tcW w:w="3975" w:type="dxa"/>
            <w:gridSpan w:val="2"/>
            <w:vAlign w:val="center"/>
          </w:tcPr>
          <w:p w:rsidR="00AF3978" w:rsidRPr="00947249" w:rsidRDefault="00947249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:rsidR="00AF3978" w:rsidRPr="005E4073" w:rsidRDefault="005E4073" w:rsidP="00D81AD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AF3978" w:rsidRDefault="002E3250" w:rsidP="002E325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-</w:t>
            </w:r>
          </w:p>
        </w:tc>
      </w:tr>
      <w:tr w:rsidR="00CD6CBC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947249" w:rsidRDefault="00947249" w:rsidP="008F1AB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Βαρκελώνη</w:t>
            </w:r>
          </w:p>
        </w:tc>
        <w:tc>
          <w:tcPr>
            <w:tcW w:w="2016" w:type="dxa"/>
            <w:vAlign w:val="center"/>
          </w:tcPr>
          <w:p w:rsidR="00636AF1" w:rsidRPr="004B3219" w:rsidRDefault="005611D1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2E3250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2E3250" w:rsidRDefault="002F3B5D" w:rsidP="00395946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5E407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</w:tr>
    </w:tbl>
    <w:p w:rsidR="00636AF1" w:rsidRPr="00654015" w:rsidRDefault="00B54702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0;margin-top:2.05pt;width:594pt;height:71.2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:rsidR="002B0EDA" w:rsidRPr="00DD03F5" w:rsidRDefault="002B0EDA" w:rsidP="002B0EDA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B0EDA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***Ισχύουν πρωτόκολλα &amp; προϋποθέσεις για συμμετοχή στην κρουαζιέρα***. </w:t>
                  </w:r>
                </w:p>
                <w:p w:rsidR="00E456EA" w:rsidRPr="002B0EDA" w:rsidRDefault="00E456EA" w:rsidP="002B0EDA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Οι τιμές περιλαμβάνουν 7νυχτη διαμονή στο πλοίο, πλήρη διατροφή εν πλω, την ψυχαγωγία που προσφέρει το πλοίο και φόρους και λιμενικά τέλη</w:t>
                  </w:r>
                  <w:r w:rsidR="002B0EDA"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 xml:space="preserve">Οι τιμές δεν περιλαμβάνουν κατανάλωση ποτών και αναψυκτικών, τη χρήση </w:t>
                  </w:r>
                  <w:proofErr w:type="spellStart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Wi</w:t>
                  </w:r>
                  <w:proofErr w:type="spellEnd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-</w:t>
                  </w:r>
                  <w:proofErr w:type="spellStart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Fi</w:t>
                  </w:r>
                  <w:proofErr w:type="spellEnd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 xml:space="preserve"> του πλοίου, γεύματα στα specialty restaurants, προαιρετικές εκδρομές, τις υπηρεσίες κομμωτηρίου και spa του πλοίου και φιλοδωρήματα (91.35€ ανά άτομο).</w:t>
                  </w:r>
                </w:p>
                <w:p w:rsidR="00B353C8" w:rsidRPr="00ED21E8" w:rsidRDefault="00E456EA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</w:p>
                <w:p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BA1813" w:rsidRDefault="00BA1813" w:rsidP="00BA1813"/>
    <w:p w:rsidR="00E456EA" w:rsidRDefault="00E456E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en-US" w:eastAsia="el-GR"/>
        </w:rPr>
      </w:pPr>
    </w:p>
    <w:p w:rsidR="00E456EA" w:rsidRDefault="00E456E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en-US" w:eastAsia="el-GR"/>
        </w:rPr>
      </w:pPr>
    </w:p>
    <w:p w:rsidR="00412557" w:rsidRPr="00C45F58" w:rsidRDefault="003F56C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FF0000"/>
          <w:lang w:eastAsia="el-GR"/>
        </w:rPr>
      </w:pPr>
      <w:r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Ενδεικτικές </w:t>
      </w:r>
      <w:r w:rsidR="000D73CA"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>Τιμές</w:t>
      </w:r>
      <w:r w:rsidR="00277766"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 ανά άτομο σε δίκλινη καμπίνα </w:t>
      </w:r>
      <w:r w:rsidR="000D73CA"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 | Τι πρέπει να γνωρίζω</w:t>
      </w:r>
    </w:p>
    <w:p w:rsidR="00C45F58" w:rsidRPr="00B870D2" w:rsidRDefault="000D73CA" w:rsidP="00A1777F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Όπως </w:t>
      </w:r>
      <w:r w:rsidR="00154599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στ</w:t>
      </w: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ι</w:t>
      </w:r>
      <w:r w:rsidR="00154599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ς</w:t>
      </w: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 περισσότερες </w:t>
      </w:r>
      <w:r w:rsidR="00154599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ξένες </w:t>
      </w: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τόσο καλά από άποψη κρατήσεων τότε αυξάνεται η πιθανότητα κάποιας προσφοράς (10% των περιπτώσεων). Να τονίσουμε εδώ ότι οι προσφορές είναι συνήθως για περιορισμένο αριθμό καμπινών ανά αναχώρηση.</w:t>
      </w:r>
      <w:r w:rsidR="00936DE0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 Όπως </w:t>
      </w:r>
      <w:r w:rsidR="00BC5F1E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ίσως ήδη γνωρίζετε, τα μεσαία και μεγάλα κρουαζιερόπλο</w:t>
      </w:r>
      <w:r w:rsidR="006B6A42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ια έχουν πολλές κατηγορίες καμπινών. Ναι μεν έχουν κυρίως 4 κατηγορίες </w:t>
      </w:r>
      <w:r w:rsidR="003E08C7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(εσωτερικές, εξωτερικές</w:t>
      </w:r>
      <w:r w:rsidR="00C82960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, μπαλκόνια  &amp; σουίτες) αλλά ακόμα και στην ίδια κατηγορία η μία </w:t>
      </w:r>
      <w:r w:rsidR="00C066CD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καμπίνα μπορεί να διαφέρει από την άλλη, για παράδειγμα σε ποιο κατάστρωμα του πλοίου είναι.</w:t>
      </w:r>
    </w:p>
    <w:p w:rsidR="00A1777F" w:rsidRPr="00A1777F" w:rsidRDefault="00A1777F" w:rsidP="00A1777F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</w:pPr>
    </w:p>
    <w:p w:rsidR="00C45F58" w:rsidRPr="00116E31" w:rsidRDefault="00C45F58" w:rsidP="00C45F58">
      <w:pPr>
        <w:pStyle w:val="ab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116E31">
        <w:rPr>
          <w:bCs/>
          <w:sz w:val="24"/>
          <w:szCs w:val="24"/>
        </w:rPr>
        <w:t xml:space="preserve">Για δίκλινη </w:t>
      </w:r>
      <w:r w:rsidRPr="00116E31">
        <w:rPr>
          <w:b/>
          <w:bCs/>
          <w:color w:val="2E74B5" w:themeColor="accent1" w:themeShade="BF"/>
          <w:sz w:val="24"/>
          <w:szCs w:val="24"/>
          <w:lang w:val="en-US"/>
        </w:rPr>
        <w:t>E</w:t>
      </w:r>
      <w:r w:rsidRPr="00116E31">
        <w:rPr>
          <w:b/>
          <w:bCs/>
          <w:color w:val="2E74B5" w:themeColor="accent1" w:themeShade="BF"/>
          <w:sz w:val="24"/>
          <w:szCs w:val="24"/>
        </w:rPr>
        <w:t>σωτερική</w:t>
      </w:r>
      <w:r w:rsidRPr="00116E31">
        <w:rPr>
          <w:bCs/>
          <w:sz w:val="24"/>
          <w:szCs w:val="24"/>
        </w:rPr>
        <w:t xml:space="preserve"> καμπίνα: από </w:t>
      </w:r>
      <w:r w:rsidRPr="00116E31">
        <w:rPr>
          <w:b/>
          <w:bCs/>
          <w:color w:val="FF0000"/>
          <w:sz w:val="24"/>
          <w:szCs w:val="24"/>
        </w:rPr>
        <w:t xml:space="preserve">990 </w:t>
      </w:r>
      <w:r w:rsidRPr="00116E31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€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16E31">
        <w:rPr>
          <w:rFonts w:eastAsia="Times New Roman" w:cs="Arial"/>
          <w:sz w:val="24"/>
          <w:szCs w:val="24"/>
          <w:lang w:eastAsia="el-GR"/>
        </w:rPr>
        <w:t>το άτομο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C45F58" w:rsidRPr="00116E31" w:rsidRDefault="00C45F58" w:rsidP="00C45F58">
      <w:pPr>
        <w:pStyle w:val="ab"/>
        <w:numPr>
          <w:ilvl w:val="0"/>
          <w:numId w:val="3"/>
        </w:numPr>
        <w:rPr>
          <w:rFonts w:eastAsia="Times New Roman" w:cs="Arial"/>
          <w:sz w:val="24"/>
          <w:szCs w:val="24"/>
          <w:lang w:eastAsia="el-GR"/>
        </w:rPr>
      </w:pPr>
      <w:r w:rsidRPr="00116E31">
        <w:rPr>
          <w:rFonts w:eastAsia="Times New Roman" w:cs="Arial"/>
          <w:sz w:val="24"/>
          <w:szCs w:val="24"/>
          <w:lang w:eastAsia="el-GR"/>
        </w:rPr>
        <w:t xml:space="preserve">Για δίκλινη καμπίνα με παράθυρο κατηγορίας </w:t>
      </w:r>
      <w:r w:rsidRPr="00116E31">
        <w:rPr>
          <w:rFonts w:eastAsia="Times New Roman" w:cs="Arial"/>
          <w:b/>
          <w:color w:val="2E74B5" w:themeColor="accent1" w:themeShade="BF"/>
          <w:sz w:val="24"/>
          <w:szCs w:val="24"/>
          <w:lang w:val="en-US" w:eastAsia="el-GR"/>
        </w:rPr>
        <w:t>Guarantee</w:t>
      </w:r>
      <w:r w:rsidRPr="00116E31">
        <w:rPr>
          <w:rFonts w:eastAsia="Times New Roman" w:cs="Arial"/>
          <w:sz w:val="24"/>
          <w:szCs w:val="24"/>
          <w:lang w:eastAsia="el-GR"/>
        </w:rPr>
        <w:t xml:space="preserve">: από </w:t>
      </w:r>
      <w:r w:rsidRPr="00116E31">
        <w:rPr>
          <w:rFonts w:eastAsia="Times New Roman" w:cs="Arial"/>
          <w:b/>
          <w:color w:val="FF0000"/>
          <w:sz w:val="24"/>
          <w:szCs w:val="24"/>
          <w:lang w:eastAsia="el-GR"/>
        </w:rPr>
        <w:t>1,138 €</w:t>
      </w:r>
      <w:r w:rsidRPr="00116E31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116E31">
        <w:rPr>
          <w:rFonts w:eastAsia="Times New Roman" w:cs="Arial"/>
          <w:sz w:val="24"/>
          <w:szCs w:val="24"/>
          <w:lang w:eastAsia="el-GR"/>
        </w:rPr>
        <w:t>το άτομο.</w:t>
      </w:r>
    </w:p>
    <w:p w:rsidR="00C45F58" w:rsidRPr="00116E31" w:rsidRDefault="00C45F58" w:rsidP="00C45F58">
      <w:pPr>
        <w:pStyle w:val="ab"/>
        <w:numPr>
          <w:ilvl w:val="0"/>
          <w:numId w:val="3"/>
        </w:numPr>
        <w:rPr>
          <w:bCs/>
          <w:sz w:val="24"/>
          <w:szCs w:val="24"/>
        </w:rPr>
      </w:pPr>
      <w:r w:rsidRPr="00116E31">
        <w:rPr>
          <w:rFonts w:eastAsia="Times New Roman" w:cs="Arial"/>
          <w:sz w:val="24"/>
          <w:szCs w:val="24"/>
          <w:lang w:eastAsia="el-GR"/>
        </w:rPr>
        <w:t xml:space="preserve">Για δίκλινη καμπίνα με μπαλκόνι </w:t>
      </w:r>
      <w:r w:rsidRPr="00116E31">
        <w:rPr>
          <w:rFonts w:eastAsia="Times New Roman" w:cs="Arial"/>
          <w:b/>
          <w:color w:val="2E74B5" w:themeColor="accent1" w:themeShade="BF"/>
          <w:sz w:val="24"/>
          <w:szCs w:val="24"/>
          <w:lang w:val="en-US" w:eastAsia="el-GR"/>
        </w:rPr>
        <w:t>Oceanview</w:t>
      </w:r>
      <w:r w:rsidRPr="00116E31">
        <w:rPr>
          <w:rFonts w:eastAsia="Times New Roman" w:cs="Arial"/>
          <w:sz w:val="24"/>
          <w:szCs w:val="24"/>
          <w:lang w:eastAsia="el-GR"/>
        </w:rPr>
        <w:t xml:space="preserve">: από </w:t>
      </w:r>
      <w:r w:rsidRPr="00116E31">
        <w:rPr>
          <w:rFonts w:eastAsia="Times New Roman" w:cs="Arial"/>
          <w:b/>
          <w:color w:val="FF0000"/>
          <w:sz w:val="24"/>
          <w:szCs w:val="24"/>
          <w:lang w:eastAsia="el-GR"/>
        </w:rPr>
        <w:t xml:space="preserve">1,525 </w:t>
      </w:r>
      <w:r w:rsidRPr="00116E31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€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16E31">
        <w:rPr>
          <w:rFonts w:eastAsia="Times New Roman" w:cs="Arial"/>
          <w:sz w:val="24"/>
          <w:szCs w:val="24"/>
          <w:lang w:eastAsia="el-GR"/>
        </w:rPr>
        <w:t>το άτομο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FE130A" w:rsidRDefault="00256C35" w:rsidP="00723A61">
      <w:pPr>
        <w:rPr>
          <w:rStyle w:val="aa"/>
          <w:i w:val="0"/>
          <w:sz w:val="20"/>
          <w:szCs w:val="20"/>
        </w:rPr>
      </w:pPr>
      <w:r w:rsidRPr="00256C35">
        <w:rPr>
          <w:rStyle w:val="aa"/>
          <w:i w:val="0"/>
          <w:sz w:val="20"/>
          <w:szCs w:val="20"/>
        </w:rPr>
        <w:t>H RCI τηρεί τα πρωτόκολλα ασφαλείας που υπαγορεύει ο Αμερικανικός CDC και τα πλοία της ταξιδεύουν με</w:t>
      </w:r>
      <w:r w:rsidRPr="00A1777F">
        <w:rPr>
          <w:rStyle w:val="aa"/>
          <w:i w:val="0"/>
          <w:sz w:val="20"/>
          <w:szCs w:val="20"/>
        </w:rPr>
        <w:t xml:space="preserve"> </w:t>
      </w:r>
      <w:r w:rsidRPr="004826FF">
        <w:rPr>
          <w:rStyle w:val="aa"/>
          <w:b/>
          <w:i w:val="0"/>
          <w:color w:val="FF0000"/>
          <w:sz w:val="20"/>
          <w:szCs w:val="20"/>
        </w:rPr>
        <w:t>πλήρως εμβολιασμένο πλήρωμα</w:t>
      </w:r>
      <w:r w:rsidRPr="00256C35">
        <w:rPr>
          <w:rStyle w:val="aa"/>
          <w:i w:val="0"/>
          <w:sz w:val="20"/>
          <w:szCs w:val="20"/>
        </w:rPr>
        <w:t>.</w:t>
      </w:r>
      <w:r w:rsidR="00A1777F">
        <w:rPr>
          <w:rStyle w:val="aa"/>
          <w:i w:val="0"/>
          <w:sz w:val="20"/>
          <w:szCs w:val="20"/>
        </w:rPr>
        <w:t xml:space="preserve"> </w:t>
      </w:r>
    </w:p>
    <w:p w:rsidR="00A1777F" w:rsidRDefault="00A1777F" w:rsidP="00723A61">
      <w:pPr>
        <w:rPr>
          <w:rStyle w:val="aa"/>
          <w:i w:val="0"/>
        </w:rPr>
      </w:pPr>
      <w:r w:rsidRPr="00A1777F">
        <w:rPr>
          <w:rStyle w:val="aa"/>
          <w:i w:val="0"/>
        </w:rPr>
        <w:t xml:space="preserve">Οι επιβάτες άνω των 12 ετών πρέπει να είναι </w:t>
      </w:r>
      <w:r w:rsidRPr="004826FF">
        <w:rPr>
          <w:rStyle w:val="aa"/>
          <w:b/>
          <w:i w:val="0"/>
          <w:color w:val="FF0000"/>
        </w:rPr>
        <w:t>πλήρως εμβολιασμένοι</w:t>
      </w:r>
      <w:r w:rsidRPr="00A1777F">
        <w:rPr>
          <w:rStyle w:val="aa"/>
          <w:i w:val="0"/>
        </w:rPr>
        <w:t xml:space="preserve"> τουλάχιστον 14 ημέρες πριν τον απόπλου. Για την επιβίβαση θα χρειαστεί επίδειξη </w:t>
      </w:r>
      <w:r w:rsidRPr="004826FF">
        <w:rPr>
          <w:rStyle w:val="aa"/>
          <w:b/>
          <w:i w:val="0"/>
          <w:color w:val="FF0000"/>
        </w:rPr>
        <w:t>αρνητικού τεστ κορονοϊού</w:t>
      </w:r>
      <w:r w:rsidRPr="00A1777F">
        <w:rPr>
          <w:rStyle w:val="aa"/>
          <w:i w:val="0"/>
        </w:rPr>
        <w:t>.</w:t>
      </w:r>
    </w:p>
    <w:p w:rsidR="00A1777F" w:rsidRDefault="00A1777F" w:rsidP="00723A61">
      <w:pPr>
        <w:rPr>
          <w:rStyle w:val="aa"/>
          <w:i w:val="0"/>
        </w:rPr>
      </w:pPr>
      <w:r w:rsidRPr="00A1777F">
        <w:rPr>
          <w:rStyle w:val="aa"/>
          <w:i w:val="0"/>
        </w:rPr>
        <w:t xml:space="preserve">Ανάλογα με το λιμάνι αναχώρησης/άφιξης, ισχύουν διαφορετικά </w:t>
      </w:r>
      <w:r w:rsidRPr="004826FF">
        <w:rPr>
          <w:rStyle w:val="aa"/>
          <w:b/>
          <w:i w:val="0"/>
          <w:color w:val="FF0000"/>
        </w:rPr>
        <w:t>πρωτόκολλα για το τεστ κορονοϊού</w:t>
      </w:r>
      <w:r>
        <w:rPr>
          <w:rStyle w:val="aa"/>
          <w:i w:val="0"/>
        </w:rPr>
        <w:t xml:space="preserve">, </w:t>
      </w:r>
      <w:r w:rsidRPr="00A1777F">
        <w:rPr>
          <w:rStyle w:val="aa"/>
          <w:i w:val="0"/>
        </w:rPr>
        <w:t>στο οποίο θα χρειαστεί να υποβληθούν πριν την επιβίβασή τους στο πλοίο τα μη εμβολιασμένα παιδιά κάτω των 12 ετών, καθώς και επιβάτες άνω των 12 ετών</w:t>
      </w:r>
      <w:r>
        <w:rPr>
          <w:rStyle w:val="aa"/>
          <w:i w:val="0"/>
        </w:rPr>
        <w:t>,</w:t>
      </w:r>
      <w:r w:rsidRPr="00A1777F">
        <w:rPr>
          <w:rStyle w:val="aa"/>
          <w:i w:val="0"/>
        </w:rPr>
        <w:t xml:space="preserve"> οι οποίοι ολοκλήρωσαν τον εμβολιασμό τους περισσότερο από 9 μήνες πριν την αναχώρηση, και δεν έχουν κάνει την ενισχυτική δόση εμβολίου.</w:t>
      </w:r>
    </w:p>
    <w:p w:rsidR="00A1777F" w:rsidRDefault="00A1777F" w:rsidP="00723A61">
      <w:pPr>
        <w:rPr>
          <w:rStyle w:val="aa"/>
          <w:i w:val="0"/>
        </w:rPr>
      </w:pPr>
      <w:r w:rsidRPr="00A1777F">
        <w:rPr>
          <w:rStyle w:val="aa"/>
          <w:i w:val="0"/>
        </w:rPr>
        <w:t>Τα πρωτόκολλα ανανεώνονται ανάλογα με τις εξελίξεις της πανδημίας και τις αποφάσεις των κρατών που επισκέπτονται τα κρουαζιερόπλοια.</w:t>
      </w:r>
    </w:p>
    <w:p w:rsidR="00A1777F" w:rsidRPr="00A1777F" w:rsidRDefault="00A1777F" w:rsidP="00723A61">
      <w:pPr>
        <w:rPr>
          <w:b/>
          <w:i/>
          <w:color w:val="FF0000"/>
          <w:sz w:val="20"/>
          <w:szCs w:val="20"/>
        </w:rPr>
      </w:pPr>
      <w:r w:rsidRPr="00A1777F">
        <w:rPr>
          <w:rStyle w:val="aa"/>
          <w:i w:val="0"/>
        </w:rPr>
        <w:t xml:space="preserve">Οι επιβάτες οφείλουν να παρακολουθούν τα </w:t>
      </w:r>
      <w:r w:rsidRPr="004826FF">
        <w:rPr>
          <w:rStyle w:val="aa"/>
          <w:b/>
          <w:i w:val="0"/>
          <w:color w:val="FF0000"/>
        </w:rPr>
        <w:t>πρωτόκολλα</w:t>
      </w:r>
      <w:r w:rsidRPr="00A1777F">
        <w:rPr>
          <w:rStyle w:val="aa"/>
          <w:i w:val="0"/>
        </w:rPr>
        <w:t xml:space="preserve"> που ισχύουν για την είσοδό τους στη χώρα αναχώρησης της κρουαζιέρας.</w:t>
      </w:r>
    </w:p>
    <w:sectPr w:rsidR="00A1777F" w:rsidRPr="00A1777F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02" w:rsidRDefault="00B54702" w:rsidP="00C34B0D">
      <w:pPr>
        <w:spacing w:after="0" w:line="240" w:lineRule="auto"/>
      </w:pPr>
      <w:r>
        <w:separator/>
      </w:r>
    </w:p>
  </w:endnote>
  <w:endnote w:type="continuationSeparator" w:id="0">
    <w:p w:rsidR="00B54702" w:rsidRDefault="00B54702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9940E7" w:rsidRDefault="00A05CAC" w:rsidP="00A05CAC">
    <w:pPr>
      <w:pStyle w:val="a6"/>
      <w:tabs>
        <w:tab w:val="center" w:pos="2678"/>
      </w:tabs>
      <w:rPr>
        <w:rFonts w:ascii="Myriad Pro" w:hAnsi="Myriad Pro"/>
        <w:b/>
        <w:color w:val="FFFFFF" w:themeColor="background1"/>
        <w:sz w:val="20"/>
        <w:szCs w:val="20"/>
      </w:rPr>
    </w:pPr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-483235</wp:posOffset>
          </wp:positionV>
          <wp:extent cx="7418705" cy="83566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0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02" w:rsidRDefault="00B54702" w:rsidP="00C34B0D">
      <w:pPr>
        <w:spacing w:after="0" w:line="240" w:lineRule="auto"/>
      </w:pPr>
      <w:r>
        <w:separator/>
      </w:r>
    </w:p>
  </w:footnote>
  <w:footnote w:type="continuationSeparator" w:id="0">
    <w:p w:rsidR="00B54702" w:rsidRDefault="00B54702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B5470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5pt;margin-top:73.8pt;width:137.45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CF25A5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Wonder of the Seas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3DF76571" wp14:editId="56FB63B6">
          <wp:simplePos x="0" y="0"/>
          <wp:positionH relativeFrom="column">
            <wp:posOffset>3700732</wp:posOffset>
          </wp:positionH>
          <wp:positionV relativeFrom="paragraph">
            <wp:posOffset>-328810</wp:posOffset>
          </wp:positionV>
          <wp:extent cx="3157268" cy="1518249"/>
          <wp:effectExtent l="266700" t="266700" r="252730" b="25400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946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1F6A5F" w:rsidRPr="00CF25A5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11AF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CF25A5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σε </w:t>
                </w:r>
                <w:r w:rsid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Δυτική </w:t>
                </w:r>
                <w:r w:rsidR="008624D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Μεσόγειο 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Royal</w:t>
                </w:r>
                <w:r w:rsidR="00CF25A5" w:rsidRP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Caribbean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272F2F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6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23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</w:p>
            </w:txbxContent>
          </v:textbox>
        </v:shape>
      </w:pict>
    </w:r>
    <w:r>
      <w:rPr>
        <w:noProof/>
        <w:lang w:eastAsia="el-GR"/>
      </w:rPr>
      <w:pict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58BC"/>
    <w:multiLevelType w:val="hybridMultilevel"/>
    <w:tmpl w:val="428EB852"/>
    <w:lvl w:ilvl="0" w:tplc="62F00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54157"/>
    <w:rsid w:val="00065BE3"/>
    <w:rsid w:val="0007191F"/>
    <w:rsid w:val="0007387E"/>
    <w:rsid w:val="00073C07"/>
    <w:rsid w:val="00076C5B"/>
    <w:rsid w:val="00082260"/>
    <w:rsid w:val="000B18FB"/>
    <w:rsid w:val="000B3217"/>
    <w:rsid w:val="000D39CC"/>
    <w:rsid w:val="000D73CA"/>
    <w:rsid w:val="000E04A6"/>
    <w:rsid w:val="000E7ABB"/>
    <w:rsid w:val="000F23CE"/>
    <w:rsid w:val="000F5301"/>
    <w:rsid w:val="0011046D"/>
    <w:rsid w:val="00116E31"/>
    <w:rsid w:val="00121297"/>
    <w:rsid w:val="001231DF"/>
    <w:rsid w:val="001305BC"/>
    <w:rsid w:val="00131EA5"/>
    <w:rsid w:val="0013440B"/>
    <w:rsid w:val="00146ABC"/>
    <w:rsid w:val="00154599"/>
    <w:rsid w:val="00166713"/>
    <w:rsid w:val="00166AAE"/>
    <w:rsid w:val="00185AA3"/>
    <w:rsid w:val="00190CBB"/>
    <w:rsid w:val="0019514A"/>
    <w:rsid w:val="001A6079"/>
    <w:rsid w:val="001A7939"/>
    <w:rsid w:val="001C03D3"/>
    <w:rsid w:val="001C2475"/>
    <w:rsid w:val="001C2F6A"/>
    <w:rsid w:val="001D2E6A"/>
    <w:rsid w:val="001F1AB4"/>
    <w:rsid w:val="001F2A53"/>
    <w:rsid w:val="001F4129"/>
    <w:rsid w:val="001F5757"/>
    <w:rsid w:val="001F6A5F"/>
    <w:rsid w:val="00200F8F"/>
    <w:rsid w:val="00201AEE"/>
    <w:rsid w:val="0020614C"/>
    <w:rsid w:val="00207B3F"/>
    <w:rsid w:val="002134CB"/>
    <w:rsid w:val="00217AAD"/>
    <w:rsid w:val="00226915"/>
    <w:rsid w:val="002359EE"/>
    <w:rsid w:val="00241516"/>
    <w:rsid w:val="00243614"/>
    <w:rsid w:val="0025445D"/>
    <w:rsid w:val="00256C35"/>
    <w:rsid w:val="00257A4F"/>
    <w:rsid w:val="00272F2F"/>
    <w:rsid w:val="00273E23"/>
    <w:rsid w:val="00274862"/>
    <w:rsid w:val="00277766"/>
    <w:rsid w:val="00284152"/>
    <w:rsid w:val="002A5690"/>
    <w:rsid w:val="002B0EDA"/>
    <w:rsid w:val="002C73AC"/>
    <w:rsid w:val="002D1CC7"/>
    <w:rsid w:val="002E1790"/>
    <w:rsid w:val="002E2A2B"/>
    <w:rsid w:val="002E3250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755"/>
    <w:rsid w:val="003821B0"/>
    <w:rsid w:val="00386951"/>
    <w:rsid w:val="00395946"/>
    <w:rsid w:val="003974B5"/>
    <w:rsid w:val="003A3611"/>
    <w:rsid w:val="003B1A61"/>
    <w:rsid w:val="003B49C0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5C3"/>
    <w:rsid w:val="00463C54"/>
    <w:rsid w:val="00465549"/>
    <w:rsid w:val="004826FF"/>
    <w:rsid w:val="004847ED"/>
    <w:rsid w:val="00487189"/>
    <w:rsid w:val="004A77E7"/>
    <w:rsid w:val="004B287E"/>
    <w:rsid w:val="004B3219"/>
    <w:rsid w:val="004C403A"/>
    <w:rsid w:val="004C424F"/>
    <w:rsid w:val="004D1E0A"/>
    <w:rsid w:val="004D3F86"/>
    <w:rsid w:val="004E116C"/>
    <w:rsid w:val="004E151C"/>
    <w:rsid w:val="004E374D"/>
    <w:rsid w:val="004E577B"/>
    <w:rsid w:val="004E6C54"/>
    <w:rsid w:val="00514FBF"/>
    <w:rsid w:val="005264DB"/>
    <w:rsid w:val="005354F0"/>
    <w:rsid w:val="005375F4"/>
    <w:rsid w:val="00546DEB"/>
    <w:rsid w:val="00547E63"/>
    <w:rsid w:val="00554133"/>
    <w:rsid w:val="005546F9"/>
    <w:rsid w:val="005611D1"/>
    <w:rsid w:val="0057045D"/>
    <w:rsid w:val="00584C7D"/>
    <w:rsid w:val="00593B2C"/>
    <w:rsid w:val="00597217"/>
    <w:rsid w:val="005A372C"/>
    <w:rsid w:val="005A7CD3"/>
    <w:rsid w:val="005B3E8C"/>
    <w:rsid w:val="005C182B"/>
    <w:rsid w:val="005D2FCC"/>
    <w:rsid w:val="005E4073"/>
    <w:rsid w:val="005E74B8"/>
    <w:rsid w:val="005F4F31"/>
    <w:rsid w:val="0060595C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A35FB"/>
    <w:rsid w:val="006B0096"/>
    <w:rsid w:val="006B109B"/>
    <w:rsid w:val="006B22D6"/>
    <w:rsid w:val="006B5AFD"/>
    <w:rsid w:val="006B6A42"/>
    <w:rsid w:val="006C4171"/>
    <w:rsid w:val="006C7499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3A61"/>
    <w:rsid w:val="0072702A"/>
    <w:rsid w:val="00751833"/>
    <w:rsid w:val="00754888"/>
    <w:rsid w:val="0076042B"/>
    <w:rsid w:val="00760781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7B7D"/>
    <w:rsid w:val="007D492C"/>
    <w:rsid w:val="007E091A"/>
    <w:rsid w:val="007E202D"/>
    <w:rsid w:val="007E37AC"/>
    <w:rsid w:val="007E769E"/>
    <w:rsid w:val="007F4B28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1898"/>
    <w:rsid w:val="00847105"/>
    <w:rsid w:val="008479F1"/>
    <w:rsid w:val="008525E2"/>
    <w:rsid w:val="008624DD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1ABA"/>
    <w:rsid w:val="008F58D4"/>
    <w:rsid w:val="008F646A"/>
    <w:rsid w:val="0090267A"/>
    <w:rsid w:val="0090295A"/>
    <w:rsid w:val="009072CA"/>
    <w:rsid w:val="00910094"/>
    <w:rsid w:val="00914721"/>
    <w:rsid w:val="0092014C"/>
    <w:rsid w:val="0092645F"/>
    <w:rsid w:val="009271C9"/>
    <w:rsid w:val="00936DE0"/>
    <w:rsid w:val="00942DCD"/>
    <w:rsid w:val="00945EF0"/>
    <w:rsid w:val="00947249"/>
    <w:rsid w:val="00962A2F"/>
    <w:rsid w:val="00972B8B"/>
    <w:rsid w:val="00976A33"/>
    <w:rsid w:val="009940E7"/>
    <w:rsid w:val="009A2111"/>
    <w:rsid w:val="009A5203"/>
    <w:rsid w:val="009A6EDC"/>
    <w:rsid w:val="009B6834"/>
    <w:rsid w:val="009C37B4"/>
    <w:rsid w:val="009D1731"/>
    <w:rsid w:val="009E508A"/>
    <w:rsid w:val="009F18CC"/>
    <w:rsid w:val="00A03C75"/>
    <w:rsid w:val="00A05CAC"/>
    <w:rsid w:val="00A1777F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23A"/>
    <w:rsid w:val="00A578AF"/>
    <w:rsid w:val="00A625ED"/>
    <w:rsid w:val="00A62F0E"/>
    <w:rsid w:val="00A74261"/>
    <w:rsid w:val="00A91ADA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16B57"/>
    <w:rsid w:val="00B22F5A"/>
    <w:rsid w:val="00B249B7"/>
    <w:rsid w:val="00B353C8"/>
    <w:rsid w:val="00B45A84"/>
    <w:rsid w:val="00B47BCB"/>
    <w:rsid w:val="00B54702"/>
    <w:rsid w:val="00B5758D"/>
    <w:rsid w:val="00B64C35"/>
    <w:rsid w:val="00B67B25"/>
    <w:rsid w:val="00B8068F"/>
    <w:rsid w:val="00B869C5"/>
    <w:rsid w:val="00B86DA1"/>
    <w:rsid w:val="00B86FB4"/>
    <w:rsid w:val="00B870D2"/>
    <w:rsid w:val="00B91F3D"/>
    <w:rsid w:val="00BA10CB"/>
    <w:rsid w:val="00BA1813"/>
    <w:rsid w:val="00BA7E37"/>
    <w:rsid w:val="00BC0256"/>
    <w:rsid w:val="00BC4059"/>
    <w:rsid w:val="00BC5F1E"/>
    <w:rsid w:val="00BD324B"/>
    <w:rsid w:val="00BD6B9B"/>
    <w:rsid w:val="00BE717B"/>
    <w:rsid w:val="00BF0B8E"/>
    <w:rsid w:val="00BF1C80"/>
    <w:rsid w:val="00C009A4"/>
    <w:rsid w:val="00C066CD"/>
    <w:rsid w:val="00C17AB4"/>
    <w:rsid w:val="00C17D6E"/>
    <w:rsid w:val="00C254E3"/>
    <w:rsid w:val="00C27A40"/>
    <w:rsid w:val="00C30784"/>
    <w:rsid w:val="00C32418"/>
    <w:rsid w:val="00C3321E"/>
    <w:rsid w:val="00C34B0D"/>
    <w:rsid w:val="00C361C6"/>
    <w:rsid w:val="00C3625E"/>
    <w:rsid w:val="00C37FBD"/>
    <w:rsid w:val="00C435B7"/>
    <w:rsid w:val="00C45F58"/>
    <w:rsid w:val="00C471C7"/>
    <w:rsid w:val="00C55A3A"/>
    <w:rsid w:val="00C62DD1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4D4F"/>
    <w:rsid w:val="00CB5B8F"/>
    <w:rsid w:val="00CC04B5"/>
    <w:rsid w:val="00CD465C"/>
    <w:rsid w:val="00CD6CBC"/>
    <w:rsid w:val="00CE2188"/>
    <w:rsid w:val="00CE3F07"/>
    <w:rsid w:val="00CE7D8E"/>
    <w:rsid w:val="00CF25A5"/>
    <w:rsid w:val="00CF47E8"/>
    <w:rsid w:val="00D0229C"/>
    <w:rsid w:val="00D0343B"/>
    <w:rsid w:val="00D048BA"/>
    <w:rsid w:val="00D07EB1"/>
    <w:rsid w:val="00D26FF3"/>
    <w:rsid w:val="00D27E03"/>
    <w:rsid w:val="00D33BBD"/>
    <w:rsid w:val="00D42E00"/>
    <w:rsid w:val="00D42E8B"/>
    <w:rsid w:val="00D4316A"/>
    <w:rsid w:val="00D46252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03F5"/>
    <w:rsid w:val="00DD4881"/>
    <w:rsid w:val="00DD57BB"/>
    <w:rsid w:val="00DE6CE8"/>
    <w:rsid w:val="00DF7E2C"/>
    <w:rsid w:val="00E103D0"/>
    <w:rsid w:val="00E417E4"/>
    <w:rsid w:val="00E41F61"/>
    <w:rsid w:val="00E42261"/>
    <w:rsid w:val="00E43C6F"/>
    <w:rsid w:val="00E456EA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0D9"/>
    <w:rsid w:val="00ED0314"/>
    <w:rsid w:val="00ED21E8"/>
    <w:rsid w:val="00ED5573"/>
    <w:rsid w:val="00EE03A0"/>
    <w:rsid w:val="00EE26CD"/>
    <w:rsid w:val="00EE6B3E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57415"/>
    <w:rsid w:val="00F8781F"/>
    <w:rsid w:val="00F92D0A"/>
    <w:rsid w:val="00FA0B16"/>
    <w:rsid w:val="00FA151F"/>
    <w:rsid w:val="00FA1DAF"/>
    <w:rsid w:val="00FA55BD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Emphasis"/>
    <w:basedOn w:val="a0"/>
    <w:uiPriority w:val="20"/>
    <w:qFormat/>
    <w:rsid w:val="00E456EA"/>
    <w:rPr>
      <w:i/>
      <w:iCs/>
    </w:rPr>
  </w:style>
  <w:style w:type="paragraph" w:styleId="ab">
    <w:name w:val="List Paragraph"/>
    <w:basedOn w:val="a"/>
    <w:uiPriority w:val="34"/>
    <w:qFormat/>
    <w:rsid w:val="00C4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22</cp:revision>
  <cp:lastPrinted>2019-11-19T12:42:00Z</cp:lastPrinted>
  <dcterms:created xsi:type="dcterms:W3CDTF">2022-04-12T11:58:00Z</dcterms:created>
  <dcterms:modified xsi:type="dcterms:W3CDTF">2022-05-04T12:52:00Z</dcterms:modified>
</cp:coreProperties>
</file>